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bookmarkStart w:id="0" w:name="_GoBack"/>
      <w:r w:rsidRPr="00447894">
        <w:rPr>
          <w:rFonts w:ascii="Times New Roman" w:eastAsia="Times New Roman" w:hAnsi="Times New Roman" w:cs="Times New Roman"/>
          <w:b/>
          <w:bCs/>
          <w:color w:val="000000"/>
          <w:kern w:val="36"/>
          <w:sz w:val="18"/>
          <w:szCs w:val="18"/>
          <w:lang w:eastAsia="es-PE"/>
        </w:rPr>
        <w:t>EXP. N.° 2758-2003-AC</w:t>
      </w:r>
      <w:bookmarkEnd w:id="0"/>
      <w:r w:rsidRPr="00447894">
        <w:rPr>
          <w:rFonts w:ascii="Times New Roman" w:eastAsia="Times New Roman" w:hAnsi="Times New Roman" w:cs="Times New Roman"/>
          <w:b/>
          <w:bCs/>
          <w:color w:val="000000"/>
          <w:kern w:val="36"/>
          <w:sz w:val="18"/>
          <w:szCs w:val="18"/>
          <w:lang w:eastAsia="es-PE"/>
        </w:rPr>
        <w:t>/TC</w:t>
      </w:r>
    </w:p>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b/>
          <w:bCs/>
          <w:color w:val="000000"/>
          <w:kern w:val="36"/>
          <w:sz w:val="18"/>
          <w:szCs w:val="18"/>
          <w:lang w:eastAsia="es-PE"/>
        </w:rPr>
        <w:t>PUNO</w:t>
      </w:r>
    </w:p>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b/>
          <w:bCs/>
          <w:color w:val="000000"/>
          <w:kern w:val="36"/>
          <w:sz w:val="18"/>
          <w:szCs w:val="18"/>
          <w:lang w:eastAsia="es-PE"/>
        </w:rPr>
        <w:t>ENRIQUE CALMET CHOQUE</w:t>
      </w:r>
    </w:p>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color w:val="000000"/>
          <w:kern w:val="36"/>
          <w:sz w:val="24"/>
          <w:szCs w:val="24"/>
          <w:lang w:eastAsia="es-PE"/>
        </w:rPr>
        <w:t> </w:t>
      </w:r>
    </w:p>
    <w:p w:rsidR="00447894" w:rsidRPr="00447894" w:rsidRDefault="00447894" w:rsidP="00447894">
      <w:pPr>
        <w:spacing w:after="0" w:line="240" w:lineRule="auto"/>
        <w:jc w:val="center"/>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b/>
          <w:bCs/>
          <w:color w:val="000000"/>
          <w:kern w:val="36"/>
          <w:sz w:val="24"/>
          <w:szCs w:val="24"/>
          <w:lang w:eastAsia="es-PE"/>
        </w:rPr>
        <w:t>SENTENCIA DEL TRIBUNAL CONSTITUCIONAL</w:t>
      </w:r>
    </w:p>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color w:val="000000"/>
          <w:kern w:val="36"/>
          <w:sz w:val="24"/>
          <w:szCs w:val="24"/>
          <w:lang w:eastAsia="es-PE"/>
        </w:rPr>
        <w:t> </w:t>
      </w:r>
    </w:p>
    <w:p w:rsidR="00447894" w:rsidRPr="00447894" w:rsidRDefault="00447894" w:rsidP="00447894">
      <w:pPr>
        <w:spacing w:after="0" w:line="240" w:lineRule="auto"/>
        <w:ind w:firstLine="708"/>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color w:val="000000"/>
          <w:kern w:val="36"/>
          <w:sz w:val="24"/>
          <w:szCs w:val="24"/>
          <w:lang w:eastAsia="es-PE"/>
        </w:rPr>
        <w:t xml:space="preserve">En Lima, a los 2 días del mes de julio de 2004, la Sala Segunda del Tribunal Constitucional, integrada por los señores magistrados </w:t>
      </w:r>
      <w:proofErr w:type="spellStart"/>
      <w:r w:rsidRPr="00447894">
        <w:rPr>
          <w:rFonts w:ascii="Times New Roman" w:eastAsia="Times New Roman" w:hAnsi="Times New Roman" w:cs="Times New Roman"/>
          <w:color w:val="000000"/>
          <w:kern w:val="36"/>
          <w:sz w:val="24"/>
          <w:szCs w:val="24"/>
          <w:lang w:eastAsia="es-PE"/>
        </w:rPr>
        <w:t>Revoredo</w:t>
      </w:r>
      <w:proofErr w:type="spellEnd"/>
      <w:r w:rsidRPr="00447894">
        <w:rPr>
          <w:rFonts w:ascii="Times New Roman" w:eastAsia="Times New Roman" w:hAnsi="Times New Roman" w:cs="Times New Roman"/>
          <w:color w:val="000000"/>
          <w:kern w:val="36"/>
          <w:sz w:val="24"/>
          <w:szCs w:val="24"/>
          <w:lang w:eastAsia="es-PE"/>
        </w:rPr>
        <w:t xml:space="preserve"> </w:t>
      </w:r>
      <w:proofErr w:type="spellStart"/>
      <w:r w:rsidRPr="00447894">
        <w:rPr>
          <w:rFonts w:ascii="Times New Roman" w:eastAsia="Times New Roman" w:hAnsi="Times New Roman" w:cs="Times New Roman"/>
          <w:color w:val="000000"/>
          <w:kern w:val="36"/>
          <w:sz w:val="24"/>
          <w:szCs w:val="24"/>
          <w:lang w:eastAsia="es-PE"/>
        </w:rPr>
        <w:t>Marsano</w:t>
      </w:r>
      <w:proofErr w:type="spellEnd"/>
      <w:r w:rsidRPr="00447894">
        <w:rPr>
          <w:rFonts w:ascii="Times New Roman" w:eastAsia="Times New Roman" w:hAnsi="Times New Roman" w:cs="Times New Roman"/>
          <w:color w:val="000000"/>
          <w:kern w:val="36"/>
          <w:sz w:val="24"/>
          <w:szCs w:val="24"/>
          <w:lang w:eastAsia="es-PE"/>
        </w:rPr>
        <w:t>, Gonzales Ojeda y García Toma, pronuncia la siguiente sentencia</w:t>
      </w:r>
    </w:p>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color w:val="000000"/>
          <w:kern w:val="36"/>
          <w:sz w:val="24"/>
          <w:szCs w:val="24"/>
          <w:lang w:eastAsia="es-PE"/>
        </w:rPr>
        <w:t> </w:t>
      </w:r>
    </w:p>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b/>
          <w:bCs/>
          <w:color w:val="000000"/>
          <w:kern w:val="36"/>
          <w:sz w:val="24"/>
          <w:szCs w:val="24"/>
          <w:lang w:eastAsia="es-PE"/>
        </w:rPr>
        <w:t>ASUNTO</w:t>
      </w:r>
    </w:p>
    <w:p w:rsidR="00447894" w:rsidRPr="00447894" w:rsidRDefault="00447894" w:rsidP="00447894">
      <w:pPr>
        <w:spacing w:after="0" w:line="240" w:lineRule="auto"/>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0"/>
          <w:szCs w:val="20"/>
          <w:lang w:eastAsia="es-PE"/>
        </w:rPr>
        <w:t> </w:t>
      </w:r>
    </w:p>
    <w:p w:rsidR="00447894" w:rsidRPr="00447894" w:rsidRDefault="00447894" w:rsidP="00447894">
      <w:pPr>
        <w:spacing w:after="0" w:line="240" w:lineRule="auto"/>
        <w:ind w:firstLine="708"/>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color w:val="000000"/>
          <w:kern w:val="36"/>
          <w:sz w:val="24"/>
          <w:szCs w:val="24"/>
          <w:lang w:eastAsia="es-PE"/>
        </w:rPr>
        <w:t xml:space="preserve">Recurso extraordinario interpuesto por don Enrique </w:t>
      </w:r>
      <w:proofErr w:type="spellStart"/>
      <w:r w:rsidRPr="00447894">
        <w:rPr>
          <w:rFonts w:ascii="Times New Roman" w:eastAsia="Times New Roman" w:hAnsi="Times New Roman" w:cs="Times New Roman"/>
          <w:color w:val="000000"/>
          <w:kern w:val="36"/>
          <w:sz w:val="24"/>
          <w:szCs w:val="24"/>
          <w:lang w:eastAsia="es-PE"/>
        </w:rPr>
        <w:t>Calmet</w:t>
      </w:r>
      <w:proofErr w:type="spellEnd"/>
      <w:r w:rsidRPr="00447894">
        <w:rPr>
          <w:rFonts w:ascii="Times New Roman" w:eastAsia="Times New Roman" w:hAnsi="Times New Roman" w:cs="Times New Roman"/>
          <w:color w:val="000000"/>
          <w:kern w:val="36"/>
          <w:sz w:val="24"/>
          <w:szCs w:val="24"/>
          <w:lang w:eastAsia="es-PE"/>
        </w:rPr>
        <w:t xml:space="preserve"> Choque contra la sentencia de la Sala Civil de la Corte Superior de Justicia de Puno, de fojas 272, su fecha 26 de agosto de 2003, que declaró improcedente la acción de cumplimiento de autos.</w:t>
      </w:r>
    </w:p>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color w:val="000000"/>
          <w:kern w:val="36"/>
          <w:sz w:val="24"/>
          <w:szCs w:val="24"/>
          <w:lang w:eastAsia="es-PE"/>
        </w:rPr>
        <w:t> </w:t>
      </w:r>
    </w:p>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b/>
          <w:bCs/>
          <w:color w:val="000000"/>
          <w:kern w:val="36"/>
          <w:sz w:val="24"/>
          <w:szCs w:val="24"/>
          <w:lang w:eastAsia="es-PE"/>
        </w:rPr>
        <w:t>ANTECEDENTES</w:t>
      </w:r>
    </w:p>
    <w:p w:rsidR="00447894" w:rsidRPr="00447894" w:rsidRDefault="00447894" w:rsidP="00447894">
      <w:pPr>
        <w:spacing w:after="0" w:line="240" w:lineRule="auto"/>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0"/>
          <w:szCs w:val="20"/>
          <w:lang w:eastAsia="es-PE"/>
        </w:rPr>
        <w:t> </w:t>
      </w:r>
    </w:p>
    <w:p w:rsidR="00447894" w:rsidRPr="00447894" w:rsidRDefault="00447894" w:rsidP="00447894">
      <w:pPr>
        <w:spacing w:after="0" w:line="240" w:lineRule="auto"/>
        <w:ind w:firstLine="708"/>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El recurrente, con fecha 22 de octubre de 2002, interpone acción de cumplimiento contra la Dirección Regional de Educación de Puno del Ministerio de Educación</w:t>
      </w:r>
      <w:r w:rsidRPr="00447894">
        <w:rPr>
          <w:rFonts w:ascii="Times New Roman" w:eastAsia="Times New Roman" w:hAnsi="Times New Roman" w:cs="Times New Roman"/>
          <w:color w:val="000000"/>
          <w:sz w:val="24"/>
          <w:szCs w:val="24"/>
          <w:lang w:eastAsia="es-PE"/>
        </w:rPr>
        <w:softHyphen/>
        <w:t>, con el objeto de que ejecute el Oficio N.° 1201-2002-OINFE, de fecha 18 de julio de 2002, mediante el cual la Oficina de Información del Ministerio de Educación dispuso que la emplazada supervise el levantamiento del cerco perimétrico que construirá el demandante en el Colegio Politécnico “Huáscar”. Asimismo, solicita que la emplazada cumpla el artículo 14° del Decreto Supremo N.° 015-2002-ED, que establece como una de las funciones de la Dirección de Gestión Institucional de las Direcciones Regionales de Educación, el mantenimiento actualizado del margesí de bienes inmuebles de su ámbito territorial.</w:t>
      </w:r>
    </w:p>
    <w:p w:rsidR="00447894" w:rsidRPr="00447894" w:rsidRDefault="00447894" w:rsidP="00447894">
      <w:pPr>
        <w:spacing w:after="0" w:line="240" w:lineRule="auto"/>
        <w:ind w:firstLine="708"/>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ind w:firstLine="708"/>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Afirma que es propietario de un terreno colindante al Colegio Politécnico “Huáscar” y que, con el fin de proteger su propiedad, solicitó a la Oficina de Infraestructura del Ministerio de Educación la autorización para construir –asumiendo el costo de la obra– un cerco perimétrico en el lote del colegio aludido. Como respuesta a lo solicitado esta oficina expidió el mencionado Oficio N.° 1201-2002-OINFE, que precisamente se constituye, en su opinión, en el acto administrativo que la emplazada se rehúsa a cumplir.</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ind w:firstLine="708"/>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La emplazada contesta la demanda y alega, principalmente, que no se encuentra vinculada por el Oficio N.° 1201-2002-OINFE, toda vez que la Oficina de Infraestructura Educativa del Viceministerio de Educación no tiene facultades para autorizar lo dispuesto en el oficio antedicho y que dicho documento constituye uno de mero trámite.</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ind w:firstLine="708"/>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El Procurador Público del Estado a cargo de los asuntos judiciales del Ministerio de Educación deduce la excepción de falta de agotamiento de la vía administrativa, y contesta la demanda solicitando que se la declare infundada, manifestando que el Oficio N.° 1201-2002-OINFE sólo constituye una recomendación, pues de acuerdo con el referido Decreto Supremo N.° 015-2002-ED, las Direcciones Regionales de Educación son las encargadas de atender el pedido del recurrente.</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ind w:firstLine="708"/>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lastRenderedPageBreak/>
        <w:t>El Segundo Juzgado Mixto de Puno, con fecha 8 de abril de 2003, declaró fundada la excepción de falta de agotamiento de la vía administrativa e improcedente la demanda, por considerar, además,+ que el Oficio N.° 1201-2002-OINFE no contiene un mandato que obligue a la emplazada.</w:t>
      </w:r>
    </w:p>
    <w:p w:rsidR="00447894" w:rsidRPr="00447894" w:rsidRDefault="00447894" w:rsidP="00447894">
      <w:pPr>
        <w:spacing w:after="0" w:line="240" w:lineRule="auto"/>
        <w:ind w:firstLine="708"/>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ind w:firstLine="708"/>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La recurrida confirmó en parte la apelada, por considerar que no existe </w:t>
      </w:r>
      <w:proofErr w:type="spellStart"/>
      <w:r w:rsidRPr="00447894">
        <w:rPr>
          <w:rFonts w:ascii="Times New Roman" w:eastAsia="Times New Roman" w:hAnsi="Times New Roman" w:cs="Times New Roman"/>
          <w:i/>
          <w:iCs/>
          <w:color w:val="000000"/>
          <w:sz w:val="24"/>
          <w:szCs w:val="24"/>
          <w:lang w:eastAsia="es-PE"/>
        </w:rPr>
        <w:t>mandamus</w:t>
      </w:r>
      <w:proofErr w:type="spellEnd"/>
      <w:r w:rsidRPr="00447894">
        <w:rPr>
          <w:rFonts w:ascii="Times New Roman" w:eastAsia="Times New Roman" w:hAnsi="Times New Roman" w:cs="Times New Roman"/>
          <w:color w:val="000000"/>
          <w:sz w:val="24"/>
          <w:szCs w:val="24"/>
          <w:lang w:eastAsia="es-PE"/>
        </w:rPr>
        <w:t>; y revocó la apelada respecto de la excepción, declarándola infundada.</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jc w:val="both"/>
        <w:outlineLvl w:val="1"/>
        <w:rPr>
          <w:rFonts w:ascii="Times New Roman" w:eastAsia="Times New Roman" w:hAnsi="Times New Roman" w:cs="Times New Roman"/>
          <w:b/>
          <w:bCs/>
          <w:color w:val="000000"/>
          <w:sz w:val="24"/>
          <w:szCs w:val="24"/>
          <w:lang w:eastAsia="es-PE"/>
        </w:rPr>
      </w:pPr>
      <w:r w:rsidRPr="00447894">
        <w:rPr>
          <w:rFonts w:ascii="Times New Roman" w:eastAsia="Times New Roman" w:hAnsi="Times New Roman" w:cs="Times New Roman"/>
          <w:b/>
          <w:bCs/>
          <w:color w:val="000000"/>
          <w:sz w:val="24"/>
          <w:szCs w:val="24"/>
          <w:lang w:eastAsia="es-PE"/>
        </w:rPr>
        <w:t>FUNDAMENTOS</w:t>
      </w:r>
    </w:p>
    <w:p w:rsidR="00447894" w:rsidRPr="00447894" w:rsidRDefault="00447894" w:rsidP="00447894">
      <w:pPr>
        <w:spacing w:after="0" w:line="240" w:lineRule="auto"/>
        <w:jc w:val="both"/>
        <w:rPr>
          <w:rFonts w:ascii="Times New Roman" w:eastAsia="Times New Roman" w:hAnsi="Times New Roman" w:cs="Times New Roman"/>
          <w:color w:val="000000"/>
          <w:sz w:val="27"/>
          <w:szCs w:val="27"/>
          <w:lang w:eastAsia="es-PE"/>
        </w:rPr>
      </w:pPr>
      <w:r w:rsidRPr="00447894">
        <w:rPr>
          <w:rFonts w:ascii="Times New Roman" w:eastAsia="Times New Roman" w:hAnsi="Times New Roman" w:cs="Times New Roman"/>
          <w:color w:val="000000"/>
          <w:sz w:val="27"/>
          <w:szCs w:val="27"/>
          <w:lang w:eastAsia="es-PE"/>
        </w:rPr>
        <w:t> </w:t>
      </w:r>
    </w:p>
    <w:p w:rsidR="00447894" w:rsidRPr="00447894" w:rsidRDefault="00447894" w:rsidP="00447894">
      <w:pPr>
        <w:spacing w:after="0" w:line="240" w:lineRule="auto"/>
        <w:ind w:left="360" w:hanging="360"/>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1.</w:t>
      </w:r>
      <w:r w:rsidRPr="00447894">
        <w:rPr>
          <w:rFonts w:ascii="Times New Roman" w:eastAsia="Times New Roman" w:hAnsi="Times New Roman" w:cs="Times New Roman"/>
          <w:color w:val="000000"/>
          <w:sz w:val="14"/>
          <w:szCs w:val="14"/>
          <w:lang w:eastAsia="es-PE"/>
        </w:rPr>
        <w:t>      </w:t>
      </w:r>
      <w:r w:rsidRPr="00447894">
        <w:rPr>
          <w:rFonts w:ascii="Times New Roman" w:eastAsia="Times New Roman" w:hAnsi="Times New Roman" w:cs="Times New Roman"/>
          <w:color w:val="000000"/>
          <w:sz w:val="24"/>
          <w:szCs w:val="24"/>
          <w:lang w:eastAsia="es-PE"/>
        </w:rPr>
        <w:t>El inciso 6) del artículo 200° de la Constitución de 1993, concordante con la Ley N.° 26301, dispone que “La Acción de Cumplimiento (...) procede contra cualquier autoridad o funcionario renuente a acatar una norma legal o un acto administrativo”. En efecto, tal como ha sostenido el Tribunal Constitucional en el Caso Asociación Nacional de Ex Servidores del Instituto Peruano de Seguridad Social (Expediente N.° 191-2003-AC/TC): “(...) para que mediante un proceso de la naturaleza que ahora toca resolver –que, como se sabe, carece de estación probatoria–, se pueda expedir una sentencia estimatoria, es preciso que el mandato previsto en la ley o en un acto administrativo tenga determinadas características. Entre otras, debe tratarse de un mandato que sea de obligatorio cumplimiento, que sea incondicional y, tratándose de los condicionales, </w:t>
      </w:r>
      <w:r w:rsidRPr="00447894">
        <w:rPr>
          <w:rFonts w:ascii="Times New Roman" w:eastAsia="Times New Roman" w:hAnsi="Times New Roman" w:cs="Times New Roman"/>
          <w:color w:val="000000"/>
          <w:sz w:val="24"/>
          <w:szCs w:val="24"/>
          <w:u w:val="single"/>
          <w:lang w:eastAsia="es-PE"/>
        </w:rPr>
        <w:t>que se haya acreditado haber satisfecho las condiciones</w:t>
      </w:r>
      <w:r w:rsidRPr="00447894">
        <w:rPr>
          <w:rFonts w:ascii="Times New Roman" w:eastAsia="Times New Roman" w:hAnsi="Times New Roman" w:cs="Times New Roman"/>
          <w:color w:val="000000"/>
          <w:sz w:val="24"/>
          <w:szCs w:val="24"/>
          <w:lang w:eastAsia="es-PE"/>
        </w:rPr>
        <w:t>; asimismo, que se trate de un mandato cierto o líquido, es decir, susceptible de inferirse indubitablemente de la ley o del acto administrativo que lo contiene y, en lo que al caso se refiere, que se encuentre vigente (...)”.</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ind w:left="360" w:hanging="360"/>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2.</w:t>
      </w:r>
      <w:r w:rsidRPr="00447894">
        <w:rPr>
          <w:rFonts w:ascii="Times New Roman" w:eastAsia="Times New Roman" w:hAnsi="Times New Roman" w:cs="Times New Roman"/>
          <w:color w:val="000000"/>
          <w:sz w:val="14"/>
          <w:szCs w:val="14"/>
          <w:lang w:eastAsia="es-PE"/>
        </w:rPr>
        <w:t>      </w:t>
      </w:r>
      <w:r w:rsidRPr="00447894">
        <w:rPr>
          <w:rFonts w:ascii="Times New Roman" w:eastAsia="Times New Roman" w:hAnsi="Times New Roman" w:cs="Times New Roman"/>
          <w:color w:val="000000"/>
          <w:sz w:val="24"/>
          <w:szCs w:val="24"/>
          <w:lang w:eastAsia="es-PE"/>
        </w:rPr>
        <w:t>En lo que al caso incumbe, el apartado n) del artículo 14° del Decreto Supremo N.° 015-2002-ED, Reglamento de Organización y Funciones de las Direcciones Regionales de Educación y de las Unidades de Gestión Educativa, establece como una de las funciones de la Dirección de Gestión Institucional de las Direcciones Regionales de Educación  “Mantener actualizado el margesí de bienes inmuebles de su ámbito territorial, efectuando el saneamiento físico-legal de aquellos que lo requieran, en coordinación con el órgano competente de la Sede Central del Ministerio de Educación”.</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ind w:left="360" w:hanging="360"/>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3.</w:t>
      </w:r>
      <w:r w:rsidRPr="00447894">
        <w:rPr>
          <w:rFonts w:ascii="Times New Roman" w:eastAsia="Times New Roman" w:hAnsi="Times New Roman" w:cs="Times New Roman"/>
          <w:color w:val="000000"/>
          <w:sz w:val="14"/>
          <w:szCs w:val="14"/>
          <w:lang w:eastAsia="es-PE"/>
        </w:rPr>
        <w:t>      </w:t>
      </w:r>
      <w:r w:rsidRPr="00447894">
        <w:rPr>
          <w:rFonts w:ascii="Times New Roman" w:eastAsia="Times New Roman" w:hAnsi="Times New Roman" w:cs="Times New Roman"/>
          <w:color w:val="000000"/>
          <w:sz w:val="24"/>
          <w:szCs w:val="24"/>
          <w:lang w:eastAsia="es-PE"/>
        </w:rPr>
        <w:t>Mediante el Oficio N.° 4456-2002-DREP-OAJ de fecha 5 de setiembre de 2002, expedido por la emplazada (fojas 98), y el Oficio N.° 662-2002-ME/SG-OAJ, de fecha 6 de diciembre de 2002, expedido por la Oficina de Asesoría Jurídica del Ministerio de Educación (fojas 94 y 95), se comunicó al recurrente que la construcción del cerco perimétrico en el Colegio Politécnico “Huáscar” se encuentra condicionada a la </w:t>
      </w:r>
      <w:r w:rsidRPr="00447894">
        <w:rPr>
          <w:rFonts w:ascii="Times New Roman" w:eastAsia="Times New Roman" w:hAnsi="Times New Roman" w:cs="Times New Roman"/>
          <w:color w:val="000000"/>
          <w:sz w:val="24"/>
          <w:szCs w:val="24"/>
          <w:u w:val="single"/>
          <w:lang w:eastAsia="es-PE"/>
        </w:rPr>
        <w:t>aprobación</w:t>
      </w:r>
      <w:r w:rsidRPr="00447894">
        <w:rPr>
          <w:rFonts w:ascii="Times New Roman" w:eastAsia="Times New Roman" w:hAnsi="Times New Roman" w:cs="Times New Roman"/>
          <w:color w:val="000000"/>
          <w:sz w:val="24"/>
          <w:szCs w:val="24"/>
          <w:lang w:eastAsia="es-PE"/>
        </w:rPr>
        <w:t> del expediente técnico de obra, en los términos y condiciones establecidos en la Directiva N.° 001-2000-VMGI que regula el procedimiento para la construcción en un centro educativo por entidades no relacionadas con el Ministerio de Educación.</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ind w:left="360" w:hanging="360"/>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4.</w:t>
      </w:r>
      <w:r w:rsidRPr="00447894">
        <w:rPr>
          <w:rFonts w:ascii="Times New Roman" w:eastAsia="Times New Roman" w:hAnsi="Times New Roman" w:cs="Times New Roman"/>
          <w:color w:val="000000"/>
          <w:sz w:val="14"/>
          <w:szCs w:val="14"/>
          <w:lang w:eastAsia="es-PE"/>
        </w:rPr>
        <w:t>      </w:t>
      </w:r>
      <w:r w:rsidRPr="00447894">
        <w:rPr>
          <w:rFonts w:ascii="Times New Roman" w:eastAsia="Times New Roman" w:hAnsi="Times New Roman" w:cs="Times New Roman"/>
          <w:color w:val="000000"/>
          <w:sz w:val="24"/>
          <w:szCs w:val="24"/>
          <w:lang w:eastAsia="es-PE"/>
        </w:rPr>
        <w:t xml:space="preserve">Por tanto, la presente demanda no puede ser acogida, toda vez que de autos no se desprende que se haya logrado satisfacer los requisitos necesarios para la expedición del mandato que autorice la supervisión del levantamiento del cerco solicitada, siendo </w:t>
      </w:r>
      <w:r w:rsidRPr="00447894">
        <w:rPr>
          <w:rFonts w:ascii="Times New Roman" w:eastAsia="Times New Roman" w:hAnsi="Times New Roman" w:cs="Times New Roman"/>
          <w:color w:val="000000"/>
          <w:sz w:val="24"/>
          <w:szCs w:val="24"/>
          <w:lang w:eastAsia="es-PE"/>
        </w:rPr>
        <w:lastRenderedPageBreak/>
        <w:t>evidente que –como lo ha reconocido el recurrente a fojas 102–, la emplazada aún no ha aprobado el respectivo expediente técnico.</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ind w:firstLine="360"/>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Por los fundamentos expuestos, el Tribunal Constitucional, con la autoridad que la Constitución Política del Perú le confiere,</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jc w:val="center"/>
        <w:outlineLvl w:val="3"/>
        <w:rPr>
          <w:rFonts w:ascii="Times New Roman" w:eastAsia="Times New Roman" w:hAnsi="Times New Roman" w:cs="Times New Roman"/>
          <w:color w:val="000000"/>
          <w:sz w:val="27"/>
          <w:szCs w:val="27"/>
          <w:lang w:eastAsia="es-PE"/>
        </w:rPr>
      </w:pPr>
      <w:r w:rsidRPr="00447894">
        <w:rPr>
          <w:rFonts w:ascii="Times New Roman" w:eastAsia="Times New Roman" w:hAnsi="Times New Roman" w:cs="Times New Roman"/>
          <w:b/>
          <w:bCs/>
          <w:color w:val="000000"/>
          <w:sz w:val="27"/>
          <w:szCs w:val="27"/>
          <w:lang w:val="es-MX" w:eastAsia="es-PE"/>
        </w:rPr>
        <w:t>HA RESUELTO</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Declarar </w:t>
      </w:r>
      <w:r w:rsidRPr="00447894">
        <w:rPr>
          <w:rFonts w:ascii="Times New Roman" w:eastAsia="Times New Roman" w:hAnsi="Times New Roman" w:cs="Times New Roman"/>
          <w:b/>
          <w:bCs/>
          <w:color w:val="000000"/>
          <w:sz w:val="24"/>
          <w:szCs w:val="24"/>
          <w:lang w:eastAsia="es-PE"/>
        </w:rPr>
        <w:t>INFUNDADA</w:t>
      </w:r>
      <w:r w:rsidRPr="00447894">
        <w:rPr>
          <w:rFonts w:ascii="Times New Roman" w:eastAsia="Times New Roman" w:hAnsi="Times New Roman" w:cs="Times New Roman"/>
          <w:color w:val="000000"/>
          <w:sz w:val="24"/>
          <w:szCs w:val="24"/>
          <w:lang w:eastAsia="es-PE"/>
        </w:rPr>
        <w:t> la acción de cumplimiento.</w:t>
      </w:r>
    </w:p>
    <w:p w:rsidR="00447894" w:rsidRPr="00447894" w:rsidRDefault="00447894" w:rsidP="00447894">
      <w:pPr>
        <w:spacing w:after="0" w:line="240" w:lineRule="auto"/>
        <w:jc w:val="both"/>
        <w:outlineLvl w:val="0"/>
        <w:rPr>
          <w:rFonts w:ascii="Times New Roman" w:eastAsia="Times New Roman" w:hAnsi="Times New Roman" w:cs="Times New Roman"/>
          <w:color w:val="000000"/>
          <w:kern w:val="36"/>
          <w:sz w:val="24"/>
          <w:szCs w:val="24"/>
          <w:lang w:eastAsia="es-PE"/>
        </w:rPr>
      </w:pPr>
      <w:r w:rsidRPr="00447894">
        <w:rPr>
          <w:rFonts w:ascii="Times New Roman" w:eastAsia="Times New Roman" w:hAnsi="Times New Roman" w:cs="Times New Roman"/>
          <w:color w:val="000000"/>
          <w:kern w:val="36"/>
          <w:sz w:val="24"/>
          <w:szCs w:val="24"/>
          <w:lang w:eastAsia="es-PE"/>
        </w:rPr>
        <w:t> </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Publíquese y notifíquese.</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SS.</w:t>
      </w:r>
    </w:p>
    <w:p w:rsidR="00447894" w:rsidRPr="00447894" w:rsidRDefault="00447894" w:rsidP="00447894">
      <w:pPr>
        <w:spacing w:after="0" w:line="240" w:lineRule="auto"/>
        <w:jc w:val="both"/>
        <w:rPr>
          <w:rFonts w:ascii="Times New Roman" w:eastAsia="Times New Roman" w:hAnsi="Times New Roman" w:cs="Times New Roman"/>
          <w:color w:val="000000"/>
          <w:sz w:val="20"/>
          <w:szCs w:val="20"/>
          <w:lang w:eastAsia="es-PE"/>
        </w:rPr>
      </w:pPr>
      <w:r w:rsidRPr="00447894">
        <w:rPr>
          <w:rFonts w:ascii="Times New Roman" w:eastAsia="Times New Roman" w:hAnsi="Times New Roman" w:cs="Times New Roman"/>
          <w:color w:val="000000"/>
          <w:sz w:val="24"/>
          <w:szCs w:val="24"/>
          <w:lang w:eastAsia="es-PE"/>
        </w:rPr>
        <w:t> </w:t>
      </w:r>
    </w:p>
    <w:p w:rsidR="00447894" w:rsidRPr="00447894" w:rsidRDefault="00447894" w:rsidP="00447894">
      <w:pPr>
        <w:spacing w:after="0" w:line="240" w:lineRule="auto"/>
        <w:jc w:val="both"/>
        <w:rPr>
          <w:rFonts w:ascii="Times New Roman" w:eastAsia="Times New Roman" w:hAnsi="Times New Roman" w:cs="Times New Roman"/>
          <w:color w:val="000000"/>
          <w:sz w:val="27"/>
          <w:szCs w:val="27"/>
          <w:lang w:eastAsia="es-PE"/>
        </w:rPr>
      </w:pPr>
      <w:r w:rsidRPr="00447894">
        <w:rPr>
          <w:rFonts w:ascii="Times New Roman" w:eastAsia="Times New Roman" w:hAnsi="Times New Roman" w:cs="Times New Roman"/>
          <w:b/>
          <w:bCs/>
          <w:color w:val="000000"/>
          <w:sz w:val="27"/>
          <w:szCs w:val="27"/>
          <w:lang w:eastAsia="es-PE"/>
        </w:rPr>
        <w:t>REVOREDO MARSANO</w:t>
      </w:r>
    </w:p>
    <w:p w:rsidR="00447894" w:rsidRPr="00447894" w:rsidRDefault="00447894" w:rsidP="00447894">
      <w:pPr>
        <w:spacing w:after="0" w:line="240" w:lineRule="auto"/>
        <w:jc w:val="both"/>
        <w:rPr>
          <w:rFonts w:ascii="Times New Roman" w:eastAsia="Times New Roman" w:hAnsi="Times New Roman" w:cs="Times New Roman"/>
          <w:color w:val="000000"/>
          <w:sz w:val="27"/>
          <w:szCs w:val="27"/>
          <w:lang w:eastAsia="es-PE"/>
        </w:rPr>
      </w:pPr>
      <w:r w:rsidRPr="00447894">
        <w:rPr>
          <w:rFonts w:ascii="Times New Roman" w:eastAsia="Times New Roman" w:hAnsi="Times New Roman" w:cs="Times New Roman"/>
          <w:b/>
          <w:bCs/>
          <w:color w:val="000000"/>
          <w:sz w:val="27"/>
          <w:szCs w:val="27"/>
          <w:lang w:eastAsia="es-PE"/>
        </w:rPr>
        <w:t>GONZALES OJEDA</w:t>
      </w:r>
    </w:p>
    <w:p w:rsidR="00447894" w:rsidRPr="00447894" w:rsidRDefault="00447894" w:rsidP="00447894">
      <w:pPr>
        <w:spacing w:after="0" w:line="240" w:lineRule="auto"/>
        <w:jc w:val="both"/>
        <w:rPr>
          <w:rFonts w:ascii="Times New Roman" w:eastAsia="Times New Roman" w:hAnsi="Times New Roman" w:cs="Times New Roman"/>
          <w:color w:val="000000"/>
          <w:sz w:val="27"/>
          <w:szCs w:val="27"/>
          <w:lang w:eastAsia="es-PE"/>
        </w:rPr>
      </w:pPr>
      <w:r w:rsidRPr="00447894">
        <w:rPr>
          <w:rFonts w:ascii="Times New Roman" w:eastAsia="Times New Roman" w:hAnsi="Times New Roman" w:cs="Times New Roman"/>
          <w:b/>
          <w:bCs/>
          <w:color w:val="000000"/>
          <w:sz w:val="27"/>
          <w:szCs w:val="27"/>
          <w:lang w:eastAsia="es-PE"/>
        </w:rPr>
        <w:t>GARCÍA TOMA</w:t>
      </w:r>
    </w:p>
    <w:p w:rsidR="00816F5A" w:rsidRPr="00447894" w:rsidRDefault="00816F5A" w:rsidP="00447894"/>
    <w:sectPr w:rsidR="00816F5A" w:rsidRPr="004478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894"/>
    <w:rsid w:val="00447894"/>
    <w:rsid w:val="00816F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478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44789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4">
    <w:name w:val="heading 4"/>
    <w:basedOn w:val="Normal"/>
    <w:link w:val="Ttulo4Car"/>
    <w:uiPriority w:val="9"/>
    <w:qFormat/>
    <w:rsid w:val="00447894"/>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7894"/>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447894"/>
    <w:rPr>
      <w:rFonts w:ascii="Times New Roman" w:eastAsia="Times New Roman" w:hAnsi="Times New Roman" w:cs="Times New Roman"/>
      <w:b/>
      <w:bCs/>
      <w:sz w:val="36"/>
      <w:szCs w:val="36"/>
      <w:lang w:eastAsia="es-PE"/>
    </w:rPr>
  </w:style>
  <w:style w:type="character" w:customStyle="1" w:styleId="Ttulo4Car">
    <w:name w:val="Título 4 Car"/>
    <w:basedOn w:val="Fuentedeprrafopredeter"/>
    <w:link w:val="Ttulo4"/>
    <w:uiPriority w:val="9"/>
    <w:rsid w:val="00447894"/>
    <w:rPr>
      <w:rFonts w:ascii="Times New Roman" w:eastAsia="Times New Roman" w:hAnsi="Times New Roman" w:cs="Times New Roman"/>
      <w:b/>
      <w:bCs/>
      <w:sz w:val="24"/>
      <w:szCs w:val="24"/>
      <w:lang w:eastAsia="es-PE"/>
    </w:rPr>
  </w:style>
  <w:style w:type="character" w:customStyle="1" w:styleId="apple-converted-space">
    <w:name w:val="apple-converted-space"/>
    <w:basedOn w:val="Fuentedeprrafopredeter"/>
    <w:rsid w:val="00447894"/>
  </w:style>
  <w:style w:type="paragraph" w:styleId="Textoindependiente">
    <w:name w:val="Body Text"/>
    <w:basedOn w:val="Normal"/>
    <w:link w:val="TextoindependienteCar"/>
    <w:uiPriority w:val="99"/>
    <w:semiHidden/>
    <w:unhideWhenUsed/>
    <w:rsid w:val="0044789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447894"/>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478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44789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4">
    <w:name w:val="heading 4"/>
    <w:basedOn w:val="Normal"/>
    <w:link w:val="Ttulo4Car"/>
    <w:uiPriority w:val="9"/>
    <w:qFormat/>
    <w:rsid w:val="00447894"/>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7894"/>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447894"/>
    <w:rPr>
      <w:rFonts w:ascii="Times New Roman" w:eastAsia="Times New Roman" w:hAnsi="Times New Roman" w:cs="Times New Roman"/>
      <w:b/>
      <w:bCs/>
      <w:sz w:val="36"/>
      <w:szCs w:val="36"/>
      <w:lang w:eastAsia="es-PE"/>
    </w:rPr>
  </w:style>
  <w:style w:type="character" w:customStyle="1" w:styleId="Ttulo4Car">
    <w:name w:val="Título 4 Car"/>
    <w:basedOn w:val="Fuentedeprrafopredeter"/>
    <w:link w:val="Ttulo4"/>
    <w:uiPriority w:val="9"/>
    <w:rsid w:val="00447894"/>
    <w:rPr>
      <w:rFonts w:ascii="Times New Roman" w:eastAsia="Times New Roman" w:hAnsi="Times New Roman" w:cs="Times New Roman"/>
      <w:b/>
      <w:bCs/>
      <w:sz w:val="24"/>
      <w:szCs w:val="24"/>
      <w:lang w:eastAsia="es-PE"/>
    </w:rPr>
  </w:style>
  <w:style w:type="character" w:customStyle="1" w:styleId="apple-converted-space">
    <w:name w:val="apple-converted-space"/>
    <w:basedOn w:val="Fuentedeprrafopredeter"/>
    <w:rsid w:val="00447894"/>
  </w:style>
  <w:style w:type="paragraph" w:styleId="Textoindependiente">
    <w:name w:val="Body Text"/>
    <w:basedOn w:val="Normal"/>
    <w:link w:val="TextoindependienteCar"/>
    <w:uiPriority w:val="99"/>
    <w:semiHidden/>
    <w:unhideWhenUsed/>
    <w:rsid w:val="0044789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99"/>
    <w:semiHidden/>
    <w:rsid w:val="00447894"/>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74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5243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2017-02-22T22:12:00Z</dcterms:created>
  <dcterms:modified xsi:type="dcterms:W3CDTF">2017-02-22T22:12:00Z</dcterms:modified>
</cp:coreProperties>
</file>